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sz w:val="44"/>
          <w:szCs w:val="32"/>
        </w:rPr>
      </w:pPr>
    </w:p>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山东省住房和城乡建设厅</w:t>
      </w:r>
    </w:p>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2017年政府信息公开工作年度报告</w:t>
      </w:r>
    </w:p>
    <w:p>
      <w:pPr>
        <w:spacing w:line="360" w:lineRule="auto"/>
        <w:ind w:firstLine="707" w:firstLineChars="221"/>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本报告由山东省住房和城乡建设厅办公室按照《中华人民共和国政府信息公开条例》（以下简称《条例》）和《山东省政府信息公开办法》（以下简称《办法》）要求编制，内容包括基本概述，主动公开政府信息情况，政策解读和社会关切回应情况，依申请公开情况，因政府信息公开引起的举报和行政诉讼情况，政府信息公开保密审查情况以及统计附表等，所列数据的统计期限为2017年1月 1日至 12月 31日。本报告电子版可在山东省住房和城乡建设厅门户网站“山东省住房和城乡建设厅”（http://www.sdjs.gov.cn/）查阅或下载。如有疑问，请与山东省住房和城乡建设厅办公室联系（地址：济南经五小纬四路46号；邮政编码：250001；办公时间： 8:30-12:00 13:00-17:00（工作日）；联系电话：0531-87086972；传真：0531-87938315；电子信箱：sdjsxxgk@126.com。</w:t>
      </w:r>
    </w:p>
    <w:p>
      <w:pPr>
        <w:spacing w:line="360" w:lineRule="auto"/>
        <w:ind w:firstLine="707" w:firstLineChars="221"/>
        <w:rPr>
          <w:rFonts w:ascii="仿宋" w:hAnsi="仿宋" w:eastAsia="仿宋"/>
          <w:sz w:val="32"/>
          <w:szCs w:val="32"/>
        </w:rPr>
      </w:pPr>
      <w:r>
        <w:rPr>
          <w:rFonts w:hint="eastAsia" w:ascii="黑体" w:hAnsi="黑体" w:eastAsia="黑体" w:cs="黑体"/>
          <w:sz w:val="32"/>
          <w:szCs w:val="32"/>
        </w:rPr>
        <w:t>一、基本概况</w:t>
      </w:r>
    </w:p>
    <w:p>
      <w:pPr>
        <w:spacing w:line="360" w:lineRule="auto"/>
        <w:ind w:firstLine="707" w:firstLineChars="22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7年是山东省住房城乡建设事业“十三五”规划关键之年，也是省住房城乡建设厅政府信息公开工作加快推进之年。一年来，省住房城乡建设厅贯彻落实国家、省关于政府信息公开有关部署，认真按照《中华人民共和国政府信息公开条例》《山东省政府信息公开办法》《关于全面推进政务公开工作的实施意见》等法规制度要求，坚持公开为常态、不公开为例外原则，着力提升信息发布、政策解读和社会关切回应工作质量，政府信息公开各项工作取得新的进展。</w:t>
      </w:r>
    </w:p>
    <w:p>
      <w:pPr>
        <w:spacing w:line="360" w:lineRule="auto"/>
        <w:ind w:firstLine="640" w:firstLineChars="200"/>
        <w:rPr>
          <w:rFonts w:ascii="仿宋" w:hAnsi="仿宋" w:eastAsia="仿宋"/>
          <w:sz w:val="32"/>
          <w:szCs w:val="32"/>
        </w:rPr>
      </w:pPr>
      <w:r>
        <w:rPr>
          <w:rFonts w:hint="eastAsia" w:ascii="楷体" w:hAnsi="楷体" w:eastAsia="楷体"/>
          <w:sz w:val="32"/>
          <w:szCs w:val="32"/>
        </w:rPr>
        <w:t>（一）强化谋划部署。</w:t>
      </w:r>
      <w:r>
        <w:rPr>
          <w:rFonts w:hint="eastAsia" w:ascii="仿宋" w:hAnsi="仿宋" w:eastAsia="仿宋"/>
          <w:sz w:val="32"/>
          <w:szCs w:val="32"/>
        </w:rPr>
        <w:t>省住房城乡建设厅高度重视政府信息公开工作，将其纳入住建改革发展大局统筹考虑，同步推进，把“政务（信息）公开”作为年度工作重点内容，实施目标绩效考核和第三方评估。通过全省住房城乡建设工作会议、厅党组会议、厅长办公会议和厅党政联席会议等重要公务活动作出部署，加强政务信息数据整合共享，积极服务指导基层政务公开标准化规范化试点，完善政府信息发布和政策解读制度，及时回应社会关切。</w:t>
      </w:r>
    </w:p>
    <w:p>
      <w:pPr>
        <w:spacing w:line="360" w:lineRule="auto"/>
        <w:ind w:firstLine="707" w:firstLineChars="221"/>
        <w:rPr>
          <w:rFonts w:hint="eastAsia" w:ascii="仿宋" w:hAnsi="仿宋" w:eastAsia="仿宋" w:cs="仿宋"/>
          <w:sz w:val="32"/>
          <w:szCs w:val="32"/>
        </w:rPr>
      </w:pPr>
      <w:r>
        <w:rPr>
          <w:rFonts w:hint="eastAsia" w:ascii="楷体" w:hAnsi="楷体" w:eastAsia="楷体"/>
          <w:sz w:val="32"/>
          <w:szCs w:val="32"/>
        </w:rPr>
        <w:t>（二）突出重点领域。</w:t>
      </w:r>
      <w:r>
        <w:rPr>
          <w:rFonts w:hint="eastAsia" w:ascii="仿宋" w:hAnsi="仿宋" w:eastAsia="仿宋"/>
          <w:sz w:val="32"/>
          <w:szCs w:val="32"/>
        </w:rPr>
        <w:t>重点领域信息公开始终是人民群众关注的热点。省住房城乡建设厅将</w:t>
      </w:r>
      <w:r>
        <w:rPr>
          <w:rFonts w:hint="eastAsia" w:ascii="仿宋" w:hAnsi="仿宋" w:eastAsia="仿宋" w:cs="仿宋"/>
          <w:sz w:val="32"/>
          <w:szCs w:val="32"/>
        </w:rPr>
        <w:t>保障性安居工程、农村危房改造、住房公积金管理、重大项目规划选址等</w:t>
      </w:r>
      <w:r>
        <w:rPr>
          <w:rFonts w:hint="eastAsia" w:ascii="仿宋" w:hAnsi="仿宋" w:eastAsia="仿宋"/>
          <w:sz w:val="32"/>
          <w:szCs w:val="32"/>
        </w:rPr>
        <w:t>重点领域信息公开纳入厅数据开放目录，完善厅网站数据开放</w:t>
      </w:r>
      <w:r>
        <w:rPr>
          <w:rFonts w:hint="eastAsia" w:ascii="仿宋" w:hAnsi="仿宋" w:eastAsia="仿宋" w:cs="仿宋"/>
          <w:sz w:val="32"/>
          <w:szCs w:val="32"/>
        </w:rPr>
        <w:t>门类内容；指导监督全省住建部门按照法律法规要求，强化公共资源配置等重点领域政府信息公开，充分保障人民群众的知情权、参与权、表达权和监督权。</w:t>
      </w:r>
    </w:p>
    <w:p>
      <w:pPr>
        <w:spacing w:line="360" w:lineRule="auto"/>
        <w:ind w:firstLine="707" w:firstLineChars="221"/>
        <w:rPr>
          <w:rFonts w:ascii="仿宋" w:hAnsi="仿宋" w:eastAsia="仿宋"/>
          <w:sz w:val="32"/>
          <w:szCs w:val="32"/>
        </w:rPr>
      </w:pPr>
      <w:r>
        <w:rPr>
          <w:rFonts w:hint="eastAsia" w:ascii="楷体" w:hAnsi="楷体" w:eastAsia="楷体"/>
          <w:b w:val="0"/>
          <w:bCs w:val="0"/>
          <w:sz w:val="32"/>
          <w:szCs w:val="32"/>
        </w:rPr>
        <w:t>（三）健全机制制度。</w:t>
      </w:r>
      <w:r>
        <w:rPr>
          <w:rFonts w:hint="eastAsia" w:ascii="仿宋" w:hAnsi="仿宋" w:eastAsia="仿宋"/>
          <w:sz w:val="32"/>
          <w:szCs w:val="32"/>
        </w:rPr>
        <w:t>按照省政府办公厅关于政务公开工作部署，及时调整厅政务公开领导小组，完善小组及其办公室、成员单位工作职能和责任分工。年内修订完善公文公开属性标注、政策性文件解读、邀请利益相关方列席会议、服务指导基层政务公开标准化规范化试点、政府信息主动公开目录编制等系列制度规章，确保省住房城乡建设厅政务公开和政府信息公开工作权责清晰、有章可循。</w:t>
      </w:r>
    </w:p>
    <w:p>
      <w:pPr>
        <w:spacing w:line="360" w:lineRule="auto"/>
        <w:ind w:firstLine="707" w:firstLineChars="221"/>
        <w:rPr>
          <w:rFonts w:ascii="黑体" w:hAnsi="黑体" w:eastAsia="黑体"/>
          <w:sz w:val="32"/>
          <w:szCs w:val="32"/>
        </w:rPr>
      </w:pPr>
      <w:r>
        <w:rPr>
          <w:rFonts w:hint="eastAsia" w:ascii="黑体" w:hAnsi="黑体" w:eastAsia="黑体"/>
          <w:sz w:val="32"/>
          <w:szCs w:val="32"/>
        </w:rPr>
        <w:t>二、主动公开政府信息情况</w:t>
      </w:r>
    </w:p>
    <w:p>
      <w:pPr>
        <w:spacing w:line="360" w:lineRule="auto"/>
        <w:ind w:firstLine="707" w:firstLineChars="221"/>
        <w:rPr>
          <w:rFonts w:ascii="仿宋" w:hAnsi="仿宋" w:eastAsia="仿宋"/>
          <w:sz w:val="32"/>
          <w:szCs w:val="32"/>
        </w:rPr>
      </w:pPr>
      <w:r>
        <w:rPr>
          <w:rFonts w:hint="eastAsia" w:ascii="楷体" w:hAnsi="楷体" w:eastAsia="楷体"/>
          <w:sz w:val="32"/>
          <w:szCs w:val="32"/>
        </w:rPr>
        <w:t>（一）主动公开内容更加规范</w:t>
      </w:r>
    </w:p>
    <w:p>
      <w:pPr>
        <w:spacing w:line="360" w:lineRule="auto"/>
        <w:ind w:firstLine="707" w:firstLineChars="221"/>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推进政务服务信息公开</w:t>
      </w:r>
    </w:p>
    <w:p>
      <w:pPr>
        <w:spacing w:line="360" w:lineRule="auto"/>
        <w:ind w:firstLine="707" w:firstLineChars="221"/>
        <w:rPr>
          <w:rFonts w:hint="eastAsia" w:ascii="仿宋" w:hAnsi="仿宋" w:eastAsia="仿宋"/>
          <w:sz w:val="32"/>
          <w:szCs w:val="32"/>
        </w:rPr>
      </w:pPr>
      <w:r>
        <w:rPr>
          <w:rFonts w:hint="eastAsia" w:ascii="仿宋" w:hAnsi="仿宋" w:eastAsia="仿宋"/>
          <w:sz w:val="32"/>
          <w:szCs w:val="32"/>
        </w:rPr>
        <w:t>一是梳理规范行政审批。对涉及山东省住房和城乡建设厅政务服务信息重新梳理并进行了确认，有关信息目录全部实现了网上公开。</w:t>
      </w:r>
    </w:p>
    <w:p>
      <w:pPr>
        <w:spacing w:line="360" w:lineRule="auto"/>
        <w:ind w:firstLine="707" w:firstLineChars="221"/>
        <w:rPr>
          <w:rFonts w:hint="eastAsia" w:ascii="仿宋" w:hAnsi="仿宋" w:eastAsia="仿宋"/>
          <w:sz w:val="32"/>
          <w:szCs w:val="32"/>
        </w:rPr>
      </w:pPr>
      <w:r>
        <w:rPr>
          <w:rFonts w:hint="eastAsia" w:ascii="仿宋" w:hAnsi="仿宋" w:eastAsia="仿宋"/>
          <w:sz w:val="32"/>
          <w:szCs w:val="32"/>
        </w:rPr>
        <w:t>二是清理行政权力事项。取消行政权力2项，调整为备案1项，调整完善山东政务服务网后台厅权力清单有关要素，并进行网上公开。</w:t>
      </w:r>
    </w:p>
    <w:p>
      <w:pPr>
        <w:spacing w:line="360" w:lineRule="auto"/>
        <w:ind w:firstLine="707" w:firstLineChars="221"/>
        <w:rPr>
          <w:rFonts w:ascii="仿宋" w:hAnsi="仿宋" w:eastAsia="仿宋"/>
          <w:sz w:val="32"/>
          <w:szCs w:val="32"/>
        </w:rPr>
      </w:pPr>
      <w:r>
        <w:rPr>
          <w:rFonts w:hint="eastAsia" w:ascii="仿宋" w:hAnsi="仿宋" w:eastAsia="仿宋"/>
          <w:sz w:val="32"/>
          <w:szCs w:val="32"/>
        </w:rPr>
        <w:t>三是梳理规范政务服务事项。共梳理办事服务总计事项57件，并全部上网公示。其中，符合条件的12项实行了全程网办或在线预审。</w:t>
      </w:r>
    </w:p>
    <w:p>
      <w:pPr>
        <w:spacing w:line="360" w:lineRule="auto"/>
        <w:ind w:firstLine="707" w:firstLineChars="221"/>
        <w:rPr>
          <w:rFonts w:ascii="仿宋" w:hAnsi="仿宋" w:eastAsia="仿宋"/>
          <w:sz w:val="32"/>
          <w:szCs w:val="32"/>
        </w:rPr>
      </w:pPr>
      <w:r>
        <w:rPr>
          <w:rFonts w:hint="eastAsia" w:ascii="仿宋" w:hAnsi="仿宋" w:eastAsia="仿宋"/>
          <w:sz w:val="32"/>
          <w:szCs w:val="32"/>
        </w:rPr>
        <w:t>2．推进财政资金信息公开</w:t>
      </w:r>
    </w:p>
    <w:p>
      <w:pPr>
        <w:spacing w:line="360" w:lineRule="auto"/>
        <w:ind w:firstLine="707" w:firstLineChars="221"/>
        <w:rPr>
          <w:rFonts w:hint="eastAsia" w:ascii="仿宋" w:hAnsi="仿宋" w:eastAsia="仿宋"/>
          <w:sz w:val="32"/>
          <w:szCs w:val="32"/>
        </w:rPr>
      </w:pPr>
      <w:r>
        <w:rPr>
          <w:rFonts w:hint="eastAsia" w:ascii="仿宋" w:hAnsi="仿宋" w:eastAsia="仿宋"/>
          <w:sz w:val="32"/>
          <w:szCs w:val="32"/>
        </w:rPr>
        <w:t>一是深化财政预算公开。全部公开了经批准的2017年部门预算，对财政拨款收支预算、政府采购预算、一般公共预算“三公”经费支出等内容进行了公开。</w:t>
      </w:r>
    </w:p>
    <w:p>
      <w:pPr>
        <w:spacing w:line="360" w:lineRule="auto"/>
        <w:ind w:firstLine="707" w:firstLineChars="221"/>
        <w:rPr>
          <w:rFonts w:hint="eastAsia" w:ascii="仿宋" w:hAnsi="仿宋" w:eastAsia="仿宋"/>
          <w:sz w:val="32"/>
          <w:szCs w:val="32"/>
        </w:rPr>
      </w:pPr>
      <w:r>
        <w:rPr>
          <w:rFonts w:hint="eastAsia" w:ascii="仿宋" w:hAnsi="仿宋" w:eastAsia="仿宋"/>
          <w:sz w:val="32"/>
          <w:szCs w:val="32"/>
        </w:rPr>
        <w:t>二是细化决算公开内容。2016年一般公共决算支出，全部细化公开到了支出功能分类项级科目。</w:t>
      </w:r>
    </w:p>
    <w:p>
      <w:pPr>
        <w:spacing w:line="360" w:lineRule="auto"/>
        <w:ind w:firstLine="707" w:firstLineChars="221"/>
        <w:rPr>
          <w:rFonts w:ascii="仿宋" w:hAnsi="仿宋" w:eastAsia="仿宋"/>
          <w:color w:val="FF0000"/>
          <w:sz w:val="32"/>
          <w:szCs w:val="32"/>
        </w:rPr>
      </w:pPr>
      <w:r>
        <w:rPr>
          <w:rFonts w:hint="eastAsia" w:ascii="仿宋" w:hAnsi="仿宋" w:eastAsia="仿宋"/>
          <w:sz w:val="32"/>
          <w:szCs w:val="32"/>
        </w:rPr>
        <w:t>三是巩固政府采购信息公开。继续通过 “中国山东政府采购网”全面公开了省住房城乡建设厅政府采购项目信息。</w:t>
      </w:r>
    </w:p>
    <w:p>
      <w:pPr>
        <w:spacing w:line="360" w:lineRule="auto"/>
        <w:ind w:firstLine="707" w:firstLineChars="221"/>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推进公共资源配置信息公开</w:t>
      </w:r>
    </w:p>
    <w:p>
      <w:pPr>
        <w:spacing w:line="360" w:lineRule="auto"/>
        <w:ind w:firstLine="707" w:firstLineChars="221"/>
        <w:rPr>
          <w:rFonts w:ascii="仿宋" w:hAnsi="仿宋" w:eastAsia="仿宋"/>
          <w:sz w:val="32"/>
          <w:szCs w:val="32"/>
        </w:rPr>
      </w:pPr>
      <w:r>
        <w:rPr>
          <w:rFonts w:hint="eastAsia" w:ascii="仿宋" w:hAnsi="仿宋" w:eastAsia="仿宋"/>
          <w:sz w:val="32"/>
          <w:szCs w:val="32"/>
        </w:rPr>
        <w:t>一是完善城乡规划信息公开。对受理的121件重大基础设施建设项目选址申请进行了审查，通过审查批前公示107件。指导各市对编制的城镇体系规划、城市（镇）总体规划、详细规划、乡规划、村庄规划的修改，进行批前公示以及批准后公开；要求各市运用政府网站和固定场所对已批准的城乡规划及重大变更进行批后公布，并纳入政府信息公开渠道，向社会公开。</w:t>
      </w:r>
    </w:p>
    <w:p>
      <w:pPr>
        <w:spacing w:line="360" w:lineRule="auto"/>
        <w:ind w:firstLine="707" w:firstLineChars="221"/>
        <w:rPr>
          <w:rFonts w:ascii="黑体" w:hAnsi="黑体" w:eastAsia="黑体"/>
          <w:color w:val="FF0000"/>
          <w:sz w:val="32"/>
          <w:szCs w:val="32"/>
        </w:rPr>
      </w:pPr>
      <w:r>
        <w:rPr>
          <w:rFonts w:hint="eastAsia" w:ascii="仿宋" w:hAnsi="仿宋" w:eastAsia="仿宋"/>
          <w:sz w:val="32"/>
          <w:szCs w:val="32"/>
        </w:rPr>
        <w:t>二是完善保障性安居工程信息公开。全面公开城镇保障性安居工程建设计划信息，每月按时公开全省棚户区改造开工、基本建成和公共租赁住房分配入住总体完成情况。重点公开棚户区改造项目信息，及时公开列入计划的项目名称、建设地址、年度计划开工套数等。指导市县持续公开保障性住房分配政策、分配程序、分配房源、分配对象、分配过程、分配结果信息。</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是完善农村危房改造信息公开。指导各地多种渠道加大政策宣传力度，利用新闻媒体向社会公开危房改造政策，由各市制作农村危房改造政策明白卡并免费发放到每一户危房改造对象，将补助对象基本信息和各审查环节的结果进行公示，县、乡镇、村三级公示期均不少于3天，公示期间有异议的，将材料退回、重新审核。</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是完善住房公积金信息公开。在全省开展了住房公积金政策“宣传月”活动，接受群众现场咨询2.2万人次；编制山东省住房公积金2016年年度报告，并通过厅网站公示、新闻发布会解读等方式向社会主动公开；在厅网站设立“住房公积金管理运行情况”栏目，按季度公开全省住房公积金管理运行信息；建立全省12329综合信息服务平台，开通12329短信服务，不断拓展住房公积金信息公开渠道。</w:t>
      </w:r>
    </w:p>
    <w:p>
      <w:pPr>
        <w:spacing w:line="360" w:lineRule="auto"/>
        <w:ind w:firstLine="640"/>
        <w:rPr>
          <w:rFonts w:ascii="仿宋" w:hAnsi="仿宋" w:eastAsia="仿宋"/>
          <w:sz w:val="32"/>
          <w:szCs w:val="32"/>
        </w:rPr>
      </w:pPr>
      <w:r>
        <w:rPr>
          <w:rFonts w:hint="eastAsia" w:ascii="仿宋" w:hAnsi="仿宋" w:eastAsia="仿宋"/>
          <w:sz w:val="32"/>
          <w:szCs w:val="32"/>
        </w:rPr>
        <w:t>五是完善工程质量治理信息公开。开展全省安全月集中宣传活动，发放宣传材料13万余份，解答群众咨询1.7万余人次，发送公益短信6万余条。高度重视政策出台解读工作，积极召开建筑施工安全治理行动情况新闻发布会，年内主动公开工程质量安全相关政府信息近130篇（条），重点对3批36个工程的质量安全执法检查典型案例进行了公开通报。</w:t>
      </w:r>
    </w:p>
    <w:p>
      <w:pPr>
        <w:spacing w:line="360" w:lineRule="auto"/>
        <w:ind w:firstLine="640"/>
        <w:rPr>
          <w:rFonts w:ascii="仿宋" w:hAnsi="仿宋" w:eastAsia="仿宋"/>
          <w:sz w:val="32"/>
          <w:szCs w:val="32"/>
        </w:rPr>
      </w:pPr>
      <w:r>
        <w:rPr>
          <w:rFonts w:hint="eastAsia" w:ascii="仿宋" w:hAnsi="仿宋" w:eastAsia="仿宋"/>
          <w:sz w:val="32"/>
          <w:szCs w:val="32"/>
        </w:rPr>
        <w:t>六是完善房屋征收补偿信息公开。指导全省17地市建立健全房屋征收信息公开领导小组，对照《山东省国有土地上房屋征收与补偿条例》，细化分解工作任务，规范公开程序流程，完善主动公开制度和依申请公开制度，积极做好国有土地上房屋征收补偿信息公开工作。</w:t>
      </w:r>
    </w:p>
    <w:p>
      <w:pPr>
        <w:spacing w:line="360" w:lineRule="auto"/>
        <w:rPr>
          <w:rFonts w:ascii="楷体" w:hAnsi="楷体" w:eastAsia="楷体"/>
          <w:sz w:val="32"/>
          <w:szCs w:val="32"/>
        </w:rPr>
      </w:pPr>
      <w:r>
        <w:rPr>
          <w:rFonts w:hint="eastAsia" w:ascii="楷体" w:hAnsi="楷体" w:eastAsia="楷体"/>
          <w:sz w:val="32"/>
          <w:szCs w:val="32"/>
        </w:rPr>
        <w:t xml:space="preserve">   （二）主动公开途径更加顺畅</w:t>
      </w:r>
    </w:p>
    <w:p>
      <w:pPr>
        <w:spacing w:line="360" w:lineRule="auto"/>
        <w:rPr>
          <w:rFonts w:ascii="仿宋" w:hAnsi="仿宋" w:eastAsia="仿宋"/>
          <w:sz w:val="32"/>
          <w:szCs w:val="32"/>
        </w:rPr>
      </w:pPr>
      <w:r>
        <w:rPr>
          <w:rFonts w:hint="eastAsia" w:ascii="仿宋" w:hAnsi="仿宋" w:eastAsia="仿宋"/>
          <w:sz w:val="32"/>
          <w:szCs w:val="32"/>
        </w:rPr>
        <w:t xml:space="preserve">    1.“两微一站”发布质量不断提升。充分发挥微信、微博和政府网站重要信息公开平台作用，运用图解、视频等方式创新政府信息展现形式，扩大政府信息的传播范围，对重要情况及时进行发布，2017年主动公开政府信息4096条，其中：政府网站、政务微博、政务微信公开政府信息分别为3547、310、104条。</w:t>
      </w:r>
      <w:r>
        <w:rPr>
          <w:rFonts w:ascii="仿宋" w:hAnsi="仿宋" w:eastAsia="仿宋"/>
          <w:sz w:val="32"/>
          <w:szCs w:val="32"/>
        </w:rPr>
        <w:t xml:space="preserve"> </w:t>
      </w:r>
    </w:p>
    <w:p>
      <w:pPr>
        <w:spacing w:line="360" w:lineRule="auto"/>
        <w:ind w:firstLine="707" w:firstLineChars="221"/>
        <w:rPr>
          <w:rFonts w:ascii="楷体" w:hAnsi="楷体" w:eastAsia="楷体"/>
          <w:sz w:val="32"/>
          <w:szCs w:val="32"/>
        </w:rPr>
      </w:pPr>
      <w:r>
        <w:rPr>
          <w:rFonts w:hint="eastAsia" w:ascii="仿宋" w:hAnsi="仿宋" w:eastAsia="仿宋"/>
          <w:sz w:val="32"/>
          <w:szCs w:val="32"/>
        </w:rPr>
        <w:t>2.新闻发布会解读效果不断增强。充分发挥新闻发布在发布重大政策、宣传政府工作、引导社会舆论等方面的重要作用，结合住建工作实际，围绕重大政策、重要舆情等事件节点，精选主题，精心准备，强化衔接，注重解读，及时回应。</w:t>
      </w:r>
      <w:r>
        <w:rPr>
          <w:rFonts w:ascii="仿宋" w:hAnsi="仿宋" w:eastAsia="仿宋"/>
          <w:sz w:val="32"/>
          <w:szCs w:val="32"/>
        </w:rPr>
        <w:t>201</w:t>
      </w:r>
      <w:r>
        <w:rPr>
          <w:rFonts w:hint="eastAsia" w:ascii="仿宋" w:hAnsi="仿宋" w:eastAsia="仿宋"/>
          <w:sz w:val="32"/>
          <w:szCs w:val="32"/>
        </w:rPr>
        <w:t>7年省住房城乡建设厅组织或提请省政府新闻办牵头召开新闻发布会</w:t>
      </w:r>
      <w:r>
        <w:rPr>
          <w:rFonts w:ascii="仿宋" w:hAnsi="仿宋" w:eastAsia="仿宋"/>
          <w:sz w:val="32"/>
          <w:szCs w:val="32"/>
        </w:rPr>
        <w:t xml:space="preserve"> </w:t>
      </w:r>
      <w:r>
        <w:rPr>
          <w:rFonts w:hint="eastAsia" w:ascii="仿宋" w:hAnsi="仿宋" w:eastAsia="仿宋"/>
          <w:sz w:val="32"/>
          <w:szCs w:val="32"/>
        </w:rPr>
        <w:t>7次（厅主要领导参加2次），厅领导参加网上访谈3次。</w:t>
      </w:r>
    </w:p>
    <w:p>
      <w:pPr>
        <w:spacing w:line="360" w:lineRule="auto"/>
        <w:ind w:firstLine="707" w:firstLineChars="221"/>
        <w:rPr>
          <w:rFonts w:ascii="仿宋" w:hAnsi="仿宋" w:eastAsia="仿宋"/>
          <w:sz w:val="32"/>
          <w:szCs w:val="32"/>
        </w:rPr>
      </w:pPr>
      <w:r>
        <w:rPr>
          <w:rFonts w:hint="eastAsia" w:ascii="仿宋" w:hAnsi="仿宋" w:eastAsia="仿宋"/>
          <w:sz w:val="32"/>
          <w:szCs w:val="32"/>
        </w:rPr>
        <w:t>3.政务服务网办公示更加透明。积极推进“互联网+政务服务”，将非涉密的4项省级行政许可事项实行全程网办，其中3项省级行政许可事项的受理、情况、结果等信息进行了公开，使与群众息息相关的政务服务信息得到了全程公开。</w:t>
      </w:r>
    </w:p>
    <w:p>
      <w:pPr>
        <w:widowControl/>
        <w:spacing w:line="360" w:lineRule="auto"/>
        <w:ind w:firstLine="707" w:firstLineChars="221"/>
        <w:rPr>
          <w:rFonts w:ascii="黑体" w:hAnsi="黑体" w:eastAsia="黑体"/>
          <w:sz w:val="32"/>
          <w:szCs w:val="32"/>
        </w:rPr>
      </w:pPr>
      <w:r>
        <w:rPr>
          <w:rFonts w:hint="eastAsia" w:ascii="黑体" w:hAnsi="黑体" w:eastAsia="黑体"/>
          <w:sz w:val="32"/>
          <w:szCs w:val="32"/>
        </w:rPr>
        <w:t>三、政策解读和社会关切回应工作情况</w:t>
      </w:r>
    </w:p>
    <w:p>
      <w:pPr>
        <w:spacing w:line="360" w:lineRule="auto"/>
        <w:ind w:firstLine="707" w:firstLineChars="221"/>
        <w:rPr>
          <w:rFonts w:ascii="楷体" w:hAnsi="楷体" w:eastAsia="楷体"/>
          <w:sz w:val="32"/>
          <w:szCs w:val="32"/>
        </w:rPr>
      </w:pPr>
      <w:r>
        <w:rPr>
          <w:rFonts w:hint="eastAsia" w:ascii="楷体" w:hAnsi="楷体" w:eastAsia="楷体" w:cs="楷体"/>
          <w:sz w:val="32"/>
          <w:szCs w:val="32"/>
        </w:rPr>
        <w:t>（一）完善解读机制制度。</w:t>
      </w:r>
      <w:r>
        <w:rPr>
          <w:rFonts w:hint="eastAsia" w:ascii="仿宋" w:hAnsi="仿宋" w:eastAsia="仿宋"/>
          <w:sz w:val="32"/>
          <w:szCs w:val="32"/>
        </w:rPr>
        <w:t>为增进社会公众对住房城乡建设事业重要政策和改革举措的理解认同，增强政府公信力执行力，年内印发了厅政策性文件解读等制度文件，明确了政策解读的监督、责任主体，规范了政策解读的范围、途径、形式等内容，将政策性文件解读工作纳入政务公开年度考核范围。</w:t>
      </w:r>
    </w:p>
    <w:p>
      <w:pPr>
        <w:spacing w:line="360" w:lineRule="auto"/>
        <w:ind w:firstLine="707" w:firstLineChars="221"/>
        <w:rPr>
          <w:rFonts w:ascii="仿宋" w:hAnsi="仿宋" w:eastAsia="仿宋"/>
          <w:sz w:val="32"/>
          <w:szCs w:val="32"/>
        </w:rPr>
      </w:pPr>
      <w:r>
        <w:rPr>
          <w:rFonts w:hint="eastAsia" w:ascii="楷体" w:hAnsi="楷体" w:eastAsia="楷体"/>
          <w:sz w:val="32"/>
          <w:szCs w:val="32"/>
        </w:rPr>
        <w:t>（二）落实同步解读要求。</w:t>
      </w:r>
      <w:r>
        <w:rPr>
          <w:rFonts w:hint="eastAsia" w:ascii="仿宋" w:hAnsi="仿宋" w:eastAsia="仿宋"/>
          <w:sz w:val="32"/>
          <w:szCs w:val="32"/>
        </w:rPr>
        <w:t>在重大住建政策制定之初，同步制定解读方案，实现了政策文件与解读材料同步发布。</w:t>
      </w:r>
      <w:r>
        <w:rPr>
          <w:rFonts w:ascii="仿宋" w:hAnsi="仿宋" w:eastAsia="仿宋"/>
          <w:sz w:val="32"/>
          <w:szCs w:val="32"/>
        </w:rPr>
        <w:t>201</w:t>
      </w:r>
      <w:r>
        <w:rPr>
          <w:rFonts w:hint="eastAsia" w:ascii="仿宋" w:hAnsi="仿宋" w:eastAsia="仿宋"/>
          <w:sz w:val="32"/>
          <w:szCs w:val="32"/>
        </w:rPr>
        <w:t>7年度，自主或联合召开新闻发布会7次，对《关于加快培育和发展住房租赁市场的实施意见》《关于深化改革全面清理规范涉企收费的意见》《关于进一步加强房地产市场调控工作的通知》等8项重大政策进行了同步解读；参加“阳光政务热线”2次，解答办理群众咨询建议36件，得到了社会广泛认可和群众充分信任。</w:t>
      </w:r>
    </w:p>
    <w:p>
      <w:pPr>
        <w:spacing w:line="360" w:lineRule="auto"/>
        <w:ind w:firstLine="707" w:firstLineChars="221"/>
        <w:rPr>
          <w:rFonts w:ascii="仿宋" w:hAnsi="仿宋" w:eastAsia="仿宋"/>
          <w:sz w:val="32"/>
          <w:szCs w:val="32"/>
        </w:rPr>
      </w:pPr>
      <w:r>
        <w:rPr>
          <w:rFonts w:hint="eastAsia" w:ascii="楷体" w:hAnsi="楷体" w:eastAsia="楷体"/>
          <w:sz w:val="32"/>
          <w:szCs w:val="32"/>
        </w:rPr>
        <w:t>（三）及时回应群众关切。</w:t>
      </w:r>
      <w:r>
        <w:rPr>
          <w:rFonts w:hint="eastAsia" w:ascii="仿宋" w:hAnsi="仿宋" w:eastAsia="仿宋"/>
          <w:sz w:val="32"/>
          <w:szCs w:val="32"/>
        </w:rPr>
        <w:t>密切关注政务舆情和社会热点，及时妥善做好重要舆情和热点问题的处置与回应工作。对涉及人民群众切身利益的政务舆情事件，在推进事件处理的同时，借助网上解答、线上互动等方式方法，及时发布权威声音，解答群众疑惑，正确引导舆论。2017年共回复厅长信箱信件1401件，回复“齐鲁民</w:t>
      </w:r>
      <w:r>
        <w:rPr>
          <w:rFonts w:hint="eastAsia" w:ascii="仿宋" w:hAnsi="仿宋" w:eastAsia="仿宋"/>
          <w:sz w:val="32"/>
          <w:szCs w:val="32"/>
          <w:lang w:eastAsia="zh-CN"/>
        </w:rPr>
        <w:t>声</w:t>
      </w:r>
      <w:r>
        <w:rPr>
          <w:rFonts w:hint="eastAsia" w:ascii="仿宋" w:hAnsi="仿宋" w:eastAsia="仿宋"/>
          <w:sz w:val="32"/>
          <w:szCs w:val="32"/>
        </w:rPr>
        <w:t>”意见建议177件，解答群众网上咨询910件。</w:t>
      </w:r>
      <w:bookmarkStart w:id="0" w:name="_GoBack"/>
      <w:bookmarkEnd w:id="0"/>
    </w:p>
    <w:p>
      <w:pPr>
        <w:spacing w:line="360" w:lineRule="auto"/>
        <w:ind w:firstLine="707" w:firstLineChars="221"/>
        <w:rPr>
          <w:rFonts w:ascii="黑体" w:hAnsi="黑体" w:eastAsia="黑体"/>
          <w:sz w:val="32"/>
          <w:szCs w:val="32"/>
        </w:rPr>
      </w:pPr>
      <w:r>
        <w:rPr>
          <w:rFonts w:hint="eastAsia" w:ascii="黑体" w:hAnsi="黑体" w:eastAsia="黑体"/>
          <w:sz w:val="32"/>
          <w:szCs w:val="32"/>
        </w:rPr>
        <w:t>四、依申请公开情况</w:t>
      </w:r>
    </w:p>
    <w:p>
      <w:pPr>
        <w:spacing w:line="360" w:lineRule="auto"/>
        <w:ind w:firstLine="707" w:firstLineChars="221"/>
        <w:rPr>
          <w:rFonts w:ascii="楷体" w:hAnsi="楷体" w:eastAsia="楷体"/>
          <w:sz w:val="32"/>
          <w:szCs w:val="32"/>
        </w:rPr>
      </w:pPr>
      <w:r>
        <w:rPr>
          <w:rFonts w:hint="eastAsia" w:ascii="楷体" w:hAnsi="楷体" w:eastAsia="楷体"/>
          <w:sz w:val="32"/>
          <w:szCs w:val="32"/>
        </w:rPr>
        <w:t>（一）依申请公开情况</w:t>
      </w:r>
    </w:p>
    <w:p>
      <w:pPr>
        <w:spacing w:line="360" w:lineRule="auto"/>
        <w:ind w:firstLine="707" w:firstLineChars="221"/>
        <w:rPr>
          <w:rFonts w:ascii="仿宋" w:hAnsi="仿宋" w:eastAsia="仿宋"/>
          <w:sz w:val="32"/>
          <w:szCs w:val="32"/>
        </w:rPr>
      </w:pPr>
      <w:r>
        <w:rPr>
          <w:rFonts w:hint="eastAsia" w:ascii="仿宋" w:hAnsi="仿宋" w:eastAsia="仿宋"/>
          <w:sz w:val="32"/>
          <w:szCs w:val="32"/>
        </w:rPr>
        <w:t>2017年度，省住房城乡建设厅共收到政府信息公开申请131件，其中，当面申请3件、网络申请75件、信函申请53件，政府信息公开申请的内容主要涉及房屋拆迁、城乡规划、从业资质等方面。</w:t>
      </w:r>
    </w:p>
    <w:p>
      <w:pPr>
        <w:spacing w:line="360" w:lineRule="auto"/>
        <w:ind w:firstLine="707" w:firstLineChars="221"/>
        <w:rPr>
          <w:rFonts w:ascii="楷体" w:hAnsi="楷体" w:eastAsia="楷体"/>
          <w:sz w:val="32"/>
          <w:szCs w:val="32"/>
        </w:rPr>
      </w:pPr>
      <w:r>
        <w:rPr>
          <w:rFonts w:hint="eastAsia" w:ascii="楷体" w:hAnsi="楷体" w:eastAsia="楷体"/>
          <w:sz w:val="32"/>
          <w:szCs w:val="32"/>
        </w:rPr>
        <w:t>（二）申请处理情况</w:t>
      </w:r>
    </w:p>
    <w:p>
      <w:pPr>
        <w:spacing w:line="360" w:lineRule="auto"/>
        <w:ind w:firstLine="707" w:firstLineChars="221"/>
        <w:rPr>
          <w:rFonts w:ascii="仿宋" w:hAnsi="仿宋" w:eastAsia="仿宋"/>
          <w:sz w:val="32"/>
          <w:szCs w:val="32"/>
        </w:rPr>
      </w:pPr>
      <w:r>
        <w:rPr>
          <w:rFonts w:hint="eastAsia" w:ascii="仿宋" w:hAnsi="仿宋" w:eastAsia="仿宋"/>
          <w:sz w:val="32"/>
          <w:szCs w:val="32"/>
        </w:rPr>
        <w:t>2017年度，省住房城乡建设厅共答复政府信息公开申请131件，按时办结131件。其中，属于已主动公开范围9件，同意公开答复19件，同意部分公开答复7件。因不是《条例》所指政府信息，不同意公开答复1件。不属于本行政机关公开的5件，申请信息不存在的86件，告知作出更改补充的4件。</w:t>
      </w:r>
    </w:p>
    <w:p>
      <w:pPr>
        <w:spacing w:line="360" w:lineRule="auto"/>
        <w:ind w:firstLine="707" w:firstLineChars="221"/>
        <w:rPr>
          <w:rFonts w:ascii="楷体" w:hAnsi="楷体" w:eastAsia="楷体"/>
          <w:sz w:val="32"/>
          <w:szCs w:val="32"/>
        </w:rPr>
      </w:pPr>
      <w:r>
        <w:rPr>
          <w:rFonts w:hint="eastAsia" w:ascii="楷体" w:hAnsi="楷体" w:eastAsia="楷体"/>
          <w:sz w:val="32"/>
          <w:szCs w:val="32"/>
        </w:rPr>
        <w:t>（三）收费和减免情况</w:t>
      </w:r>
    </w:p>
    <w:p>
      <w:pPr>
        <w:spacing w:line="360" w:lineRule="auto"/>
        <w:ind w:firstLine="707" w:firstLineChars="221"/>
        <w:rPr>
          <w:rFonts w:ascii="仿宋" w:hAnsi="仿宋" w:eastAsia="仿宋"/>
          <w:sz w:val="32"/>
          <w:szCs w:val="32"/>
        </w:rPr>
      </w:pPr>
      <w:r>
        <w:rPr>
          <w:rFonts w:hint="eastAsia" w:ascii="仿宋" w:hAnsi="仿宋" w:eastAsia="仿宋"/>
          <w:sz w:val="32"/>
          <w:szCs w:val="32"/>
        </w:rPr>
        <w:t>2017年度，省住房城乡建设厅依申请公开政府信息没有收取任何费用。</w:t>
      </w:r>
    </w:p>
    <w:p>
      <w:pPr>
        <w:spacing w:line="360" w:lineRule="auto"/>
        <w:ind w:firstLine="707" w:firstLineChars="221"/>
        <w:rPr>
          <w:rFonts w:ascii="黑体" w:hAnsi="黑体" w:eastAsia="黑体"/>
          <w:sz w:val="32"/>
          <w:szCs w:val="32"/>
        </w:rPr>
      </w:pPr>
      <w:r>
        <w:rPr>
          <w:rFonts w:hint="eastAsia" w:ascii="黑体" w:hAnsi="黑体" w:eastAsia="黑体"/>
          <w:sz w:val="32"/>
          <w:szCs w:val="32"/>
        </w:rPr>
        <w:t>五、因政府信息公开出现的举报和行政诉讼情况</w:t>
      </w:r>
    </w:p>
    <w:p>
      <w:pPr>
        <w:spacing w:line="360" w:lineRule="auto"/>
        <w:ind w:firstLine="707" w:firstLineChars="221"/>
        <w:rPr>
          <w:rFonts w:ascii="仿宋" w:hAnsi="仿宋" w:eastAsia="仿宋"/>
          <w:sz w:val="32"/>
          <w:szCs w:val="32"/>
        </w:rPr>
      </w:pPr>
      <w:r>
        <w:rPr>
          <w:rFonts w:hint="eastAsia" w:ascii="仿宋" w:hAnsi="仿宋" w:eastAsia="仿宋"/>
          <w:sz w:val="32"/>
          <w:szCs w:val="32"/>
        </w:rPr>
        <w:t>2017年度，省住房城乡建设厅未因公民、法人和其他组织认为行政机关不依法履行政府信息公开义务被提起举报。省住房城乡建设厅因公民、法人和其他组织认为行政机关政府信息公开工作具体行政行为侵犯其合法权益，提起行政诉讼19件。其中，审判机关维持原具体行政行为或者驳回原告诉讼请求19件。</w:t>
      </w:r>
    </w:p>
    <w:p>
      <w:pPr>
        <w:spacing w:line="360" w:lineRule="auto"/>
        <w:ind w:firstLine="707" w:firstLineChars="221"/>
        <w:rPr>
          <w:rFonts w:ascii="黑体" w:hAnsi="黑体" w:eastAsia="黑体"/>
          <w:sz w:val="32"/>
          <w:szCs w:val="32"/>
        </w:rPr>
      </w:pPr>
      <w:r>
        <w:rPr>
          <w:rFonts w:hint="eastAsia" w:ascii="黑体" w:hAnsi="黑体" w:eastAsia="黑体"/>
          <w:sz w:val="32"/>
          <w:szCs w:val="32"/>
        </w:rPr>
        <w:t>六、政府信息公开保密审查情况</w:t>
      </w:r>
    </w:p>
    <w:p>
      <w:pPr>
        <w:spacing w:line="360" w:lineRule="auto"/>
        <w:ind w:firstLine="707" w:firstLineChars="221"/>
        <w:rPr>
          <w:rFonts w:ascii="仿宋" w:hAnsi="仿宋" w:eastAsia="仿宋"/>
          <w:sz w:val="32"/>
          <w:szCs w:val="32"/>
        </w:rPr>
      </w:pPr>
      <w:r>
        <w:rPr>
          <w:rFonts w:hint="eastAsia" w:ascii="仿宋" w:hAnsi="仿宋" w:eastAsia="仿宋"/>
          <w:sz w:val="32"/>
          <w:szCs w:val="32"/>
        </w:rPr>
        <w:t>省住房城乡建设厅认真落实《中华人民共和国保守国家秘密法》和《山东省政府信息公开保密审查办法（试行）》等规定，严格遵循“谁公开谁审查、谁审查谁负责”“先审查、后公开”和“一事一审”的原则，全力做好需公开信息的保密审查工作；省住房城乡建设厅把落实公开属性源头认定机制作为加强政府信息公开保密审查的重要措施，列为年度考核指标强化推进，从源头上保障了公开信息不涉密、涉密信息不公开。</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 xml:space="preserve">    附件：2017年度政府信息公开工作情况统计表</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wordWrap w:val="0"/>
        <w:spacing w:line="360" w:lineRule="auto"/>
        <w:jc w:val="righ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山东省住房和城乡建设厅      </w:t>
      </w:r>
    </w:p>
    <w:p>
      <w:pPr>
        <w:wordWrap w:val="0"/>
        <w:spacing w:line="360" w:lineRule="auto"/>
        <w:jc w:val="center"/>
        <w:rPr>
          <w:rFonts w:ascii="仿宋" w:hAnsi="仿宋" w:eastAsia="仿宋"/>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lang w:val="en-US" w:eastAsia="zh-CN"/>
        </w:rPr>
        <w:t xml:space="preserve">                           </w:t>
      </w:r>
      <w:r>
        <w:rPr>
          <w:rFonts w:hint="eastAsia" w:ascii="仿宋" w:hAnsi="仿宋" w:eastAsia="仿宋"/>
          <w:sz w:val="32"/>
          <w:szCs w:val="32"/>
        </w:rPr>
        <w:t>2018年1月</w:t>
      </w:r>
      <w:r>
        <w:rPr>
          <w:rFonts w:hint="eastAsia" w:ascii="仿宋" w:hAnsi="仿宋" w:eastAsia="仿宋"/>
          <w:sz w:val="32"/>
          <w:szCs w:val="32"/>
          <w:lang w:val="en-US" w:eastAsia="zh-CN"/>
        </w:rPr>
        <w:t>25</w:t>
      </w:r>
      <w:r>
        <w:rPr>
          <w:rFonts w:hint="eastAsia" w:ascii="仿宋" w:hAnsi="仿宋" w:eastAsia="仿宋"/>
          <w:sz w:val="32"/>
          <w:szCs w:val="32"/>
        </w:rPr>
        <w:t xml:space="preserve">日        </w:t>
      </w:r>
    </w:p>
    <w:p>
      <w:pPr>
        <w:rPr>
          <w:rFonts w:ascii="黑体" w:hAnsi="宋体" w:eastAsia="黑体"/>
          <w:sz w:val="32"/>
          <w:szCs w:val="32"/>
        </w:rPr>
      </w:pPr>
      <w:r>
        <w:rPr>
          <w:rFonts w:hint="eastAsia" w:ascii="黑体" w:hAnsi="宋体" w:eastAsia="黑体"/>
          <w:sz w:val="32"/>
          <w:szCs w:val="32"/>
        </w:rPr>
        <w:t>附件</w:t>
      </w:r>
    </w:p>
    <w:p>
      <w:pPr>
        <w:rPr>
          <w:rFonts w:ascii="黑体" w:hAnsi="宋体" w:eastAsia="黑体"/>
          <w:sz w:val="32"/>
          <w:szCs w:val="32"/>
        </w:rPr>
      </w:pPr>
    </w:p>
    <w:p>
      <w:pPr>
        <w:jc w:val="center"/>
        <w:rPr>
          <w:rFonts w:ascii="宋体" w:hAnsi="宋体"/>
          <w:b/>
          <w:sz w:val="44"/>
          <w:szCs w:val="44"/>
        </w:rPr>
      </w:pPr>
      <w:r>
        <w:rPr>
          <w:rFonts w:hint="eastAsia" w:ascii="宋体" w:hAnsi="宋体"/>
          <w:b/>
          <w:sz w:val="44"/>
          <w:szCs w:val="44"/>
        </w:rPr>
        <w:t>2017年度政府信息公开工作情况统计表</w:t>
      </w:r>
    </w:p>
    <w:tbl>
      <w:tblPr>
        <w:tblStyle w:val="11"/>
        <w:tblpPr w:leftFromText="180" w:rightFromText="180" w:vertAnchor="text" w:horzAnchor="page" w:tblpX="1251" w:tblpY="623"/>
        <w:tblOverlap w:val="never"/>
        <w:tblW w:w="9450"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75"/>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6"/>
              <w:spacing w:before="0" w:beforeAutospacing="0" w:after="0" w:afterAutospacing="0" w:line="420" w:lineRule="atLeast"/>
              <w:ind w:firstLine="685"/>
              <w:jc w:val="center"/>
              <w:rPr>
                <w:color w:val="000000"/>
              </w:rPr>
            </w:pPr>
            <w:r>
              <w:rPr>
                <w:rStyle w:val="8"/>
                <w:rFonts w:hint="eastAsia"/>
                <w:color w:val="000000"/>
                <w:sz w:val="20"/>
                <w:szCs w:val="20"/>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Style w:val="8"/>
                <w:rFonts w:hint="eastAsia" w:ascii="宋体" w:hAnsi="宋体"/>
                <w:color w:val="000000"/>
                <w:sz w:val="20"/>
                <w:szCs w:val="20"/>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Style w:val="8"/>
                <w:rFonts w:hint="eastAsia" w:ascii="宋体" w:hAnsi="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（一）主动公开政府信息数</w:t>
            </w:r>
            <w:r>
              <w:rPr>
                <w:rFonts w:ascii="宋体" w:hAnsi="宋体"/>
                <w:color w:val="000000"/>
                <w:sz w:val="20"/>
                <w:szCs w:val="20"/>
              </w:rPr>
              <w:br w:type="textWrapping"/>
            </w:r>
            <w:r>
              <w:rPr>
                <w:rFonts w:ascii="宋体" w:hAnsi="宋体"/>
                <w:color w:val="000000"/>
                <w:sz w:val="20"/>
                <w:szCs w:val="20"/>
              </w:rPr>
              <w:t>　　　　（不同渠道和方式公开相同信息计1条）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4193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3547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310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104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253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6"/>
              <w:spacing w:before="0" w:beforeAutospacing="0" w:after="0" w:afterAutospacing="0" w:line="420" w:lineRule="atLeast"/>
              <w:ind w:firstLine="685"/>
              <w:jc w:val="center"/>
              <w:rPr>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6"/>
              <w:spacing w:before="0" w:beforeAutospacing="0" w:after="0" w:afterAutospacing="0" w:line="420" w:lineRule="atLeast"/>
              <w:ind w:firstLine="400" w:firstLineChars="200"/>
              <w:rPr>
                <w:color w:val="000000"/>
              </w:rPr>
            </w:pPr>
            <w:r>
              <w:rPr>
                <w:rFonts w:cs="Times New Roman"/>
                <w:color w:val="000000"/>
                <w:kern w:val="2"/>
                <w:sz w:val="20"/>
                <w:szCs w:val="20"/>
              </w:rPr>
              <w:t>（一）回应公众关注热点或重大舆情数</w:t>
            </w:r>
            <w:r>
              <w:rPr>
                <w:rFonts w:cs="Times New Roman"/>
                <w:color w:val="000000"/>
                <w:kern w:val="2"/>
                <w:sz w:val="20"/>
                <w:szCs w:val="20"/>
              </w:rPr>
              <w:br w:type="textWrapping"/>
            </w:r>
            <w:r>
              <w:rPr>
                <w:rFonts w:cs="Times New Roman"/>
                <w:color w:val="000000"/>
                <w:kern w:val="2"/>
                <w:sz w:val="20"/>
                <w:szCs w:val="20"/>
              </w:rPr>
              <w:t>　　　　 （不同方式回应同一热点或舆情计1次）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6"/>
              <w:spacing w:before="0" w:beforeAutospacing="0" w:after="0" w:afterAutospacing="0" w:line="420" w:lineRule="atLeast"/>
              <w:ind w:firstLine="685"/>
              <w:jc w:val="center"/>
              <w:rPr>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131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75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53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131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131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131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86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b/>
                <w:bCs/>
                <w:color w:val="000000"/>
                <w:sz w:val="20"/>
                <w:szCs w:val="20"/>
              </w:rPr>
            </w:pPr>
            <w:r>
              <w:rPr>
                <w:rFonts w:hint="eastAsia" w:ascii="宋体" w:hAnsi="宋体"/>
                <w:b/>
                <w:bCs/>
                <w:color w:val="000000"/>
                <w:sz w:val="20"/>
                <w:szCs w:val="20"/>
              </w:rPr>
              <w:t>七、向图书馆、档案馆等查阅场所报送信息数</w:t>
            </w:r>
          </w:p>
          <w:p>
            <w:pPr>
              <w:spacing w:line="420" w:lineRule="atLeast"/>
              <w:rPr>
                <w:rFonts w:ascii="宋体" w:hAnsi="宋体"/>
                <w:color w:val="000000"/>
                <w:sz w:val="20"/>
                <w:szCs w:val="20"/>
              </w:rPr>
            </w:pP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96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w:t>
            </w:r>
            <w:r>
              <w:rPr>
                <w:rFonts w:hint="eastAsia" w:ascii="宋体" w:hAnsi="宋体"/>
                <w:color w:val="000000"/>
                <w:sz w:val="20"/>
                <w:szCs w:val="20"/>
              </w:rPr>
              <w:t>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96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w:t>
            </w:r>
            <w:r>
              <w:rPr>
                <w:rFonts w:hint="eastAsia" w:ascii="宋体" w:hAnsi="宋体"/>
                <w:color w:val="000000"/>
                <w:sz w:val="20"/>
                <w:szCs w:val="20"/>
              </w:rPr>
              <w:t>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（四）政府信息公开专项经费（不包括用于政府公报编辑管理及政府网站建设维</w:t>
            </w:r>
            <w:r>
              <w:rPr>
                <w:rFonts w:ascii="宋体" w:hAnsi="宋体"/>
                <w:color w:val="000000"/>
                <w:sz w:val="20"/>
                <w:szCs w:val="20"/>
              </w:rPr>
              <w:br w:type="textWrapping"/>
            </w:r>
            <w:r>
              <w:rPr>
                <w:rFonts w:ascii="宋体" w:hAnsi="宋体"/>
                <w:color w:val="000000"/>
                <w:sz w:val="20"/>
                <w:szCs w:val="20"/>
              </w:rPr>
              <w:t>　　　　　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p>
        </w:tc>
      </w:tr>
    </w:tbl>
    <w:p>
      <w:pPr>
        <w:rPr>
          <w:rFonts w:ascii="黑体" w:hAnsi="宋体" w:eastAsia="黑体"/>
          <w:sz w:val="24"/>
        </w:rPr>
      </w:pPr>
    </w:p>
    <w:p/>
    <w:p/>
    <w:p>
      <w:pPr>
        <w:spacing w:line="360" w:lineRule="auto"/>
        <w:rPr>
          <w:rFonts w:ascii="仿宋" w:hAnsi="仿宋" w:eastAsia="仿宋"/>
          <w:sz w:val="32"/>
          <w:szCs w:val="32"/>
        </w:rPr>
      </w:pPr>
    </w:p>
    <w:p>
      <w:pPr>
        <w:wordWrap w:val="0"/>
        <w:spacing w:line="360" w:lineRule="auto"/>
        <w:jc w:val="righ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34"/>
    <w:rsid w:val="0000641C"/>
    <w:rsid w:val="00043E37"/>
    <w:rsid w:val="00081397"/>
    <w:rsid w:val="00095BC3"/>
    <w:rsid w:val="000C6F42"/>
    <w:rsid w:val="000F2C36"/>
    <w:rsid w:val="00164CBC"/>
    <w:rsid w:val="001653FF"/>
    <w:rsid w:val="001760EF"/>
    <w:rsid w:val="001F57D4"/>
    <w:rsid w:val="0021425F"/>
    <w:rsid w:val="00231941"/>
    <w:rsid w:val="00266D64"/>
    <w:rsid w:val="00286B77"/>
    <w:rsid w:val="002B0F32"/>
    <w:rsid w:val="002D03D8"/>
    <w:rsid w:val="003540EC"/>
    <w:rsid w:val="003A6BB6"/>
    <w:rsid w:val="003F3402"/>
    <w:rsid w:val="00406959"/>
    <w:rsid w:val="0047415D"/>
    <w:rsid w:val="004A57A4"/>
    <w:rsid w:val="004F45F9"/>
    <w:rsid w:val="00575234"/>
    <w:rsid w:val="005836AE"/>
    <w:rsid w:val="005C18E1"/>
    <w:rsid w:val="00607871"/>
    <w:rsid w:val="00640310"/>
    <w:rsid w:val="006E2B23"/>
    <w:rsid w:val="00704D10"/>
    <w:rsid w:val="0072321A"/>
    <w:rsid w:val="00795B06"/>
    <w:rsid w:val="00797515"/>
    <w:rsid w:val="00857C08"/>
    <w:rsid w:val="008A7D83"/>
    <w:rsid w:val="00935677"/>
    <w:rsid w:val="009D7E09"/>
    <w:rsid w:val="00A010AA"/>
    <w:rsid w:val="00A45223"/>
    <w:rsid w:val="00AA0941"/>
    <w:rsid w:val="00AB4A82"/>
    <w:rsid w:val="00AE03B4"/>
    <w:rsid w:val="00AE0C07"/>
    <w:rsid w:val="00B21A3C"/>
    <w:rsid w:val="00B22337"/>
    <w:rsid w:val="00B37662"/>
    <w:rsid w:val="00BA125B"/>
    <w:rsid w:val="00BC3E63"/>
    <w:rsid w:val="00C85D65"/>
    <w:rsid w:val="00CF0CF1"/>
    <w:rsid w:val="00D20287"/>
    <w:rsid w:val="00D47908"/>
    <w:rsid w:val="00D62AC3"/>
    <w:rsid w:val="00D73434"/>
    <w:rsid w:val="00DA3028"/>
    <w:rsid w:val="00DA3922"/>
    <w:rsid w:val="00E242FC"/>
    <w:rsid w:val="00E70119"/>
    <w:rsid w:val="00EF4A90"/>
    <w:rsid w:val="00EF6199"/>
    <w:rsid w:val="00F10A4B"/>
    <w:rsid w:val="00F15FD3"/>
    <w:rsid w:val="00FA0533"/>
    <w:rsid w:val="00FA1C96"/>
    <w:rsid w:val="01E66866"/>
    <w:rsid w:val="027671FF"/>
    <w:rsid w:val="06FD40E9"/>
    <w:rsid w:val="08A564EE"/>
    <w:rsid w:val="08A75639"/>
    <w:rsid w:val="0AD27EE7"/>
    <w:rsid w:val="0FB55BF7"/>
    <w:rsid w:val="180A6BB6"/>
    <w:rsid w:val="1DAE29BC"/>
    <w:rsid w:val="1EE23156"/>
    <w:rsid w:val="1F201BD7"/>
    <w:rsid w:val="1F631EF0"/>
    <w:rsid w:val="223F1ACE"/>
    <w:rsid w:val="2578222E"/>
    <w:rsid w:val="29F17E97"/>
    <w:rsid w:val="2B072486"/>
    <w:rsid w:val="2D7543F5"/>
    <w:rsid w:val="34EE0807"/>
    <w:rsid w:val="390D415C"/>
    <w:rsid w:val="3B843C6B"/>
    <w:rsid w:val="3B9B26F6"/>
    <w:rsid w:val="43D93C5D"/>
    <w:rsid w:val="49E671EB"/>
    <w:rsid w:val="4EAF068A"/>
    <w:rsid w:val="54EE2B1F"/>
    <w:rsid w:val="59532D53"/>
    <w:rsid w:val="597F172F"/>
    <w:rsid w:val="5B895DE3"/>
    <w:rsid w:val="5D042916"/>
    <w:rsid w:val="601D26B5"/>
    <w:rsid w:val="60D36BEE"/>
    <w:rsid w:val="62D14686"/>
    <w:rsid w:val="6A500591"/>
    <w:rsid w:val="6DAA6BF6"/>
    <w:rsid w:val="75A025F9"/>
    <w:rsid w:val="7A6670DA"/>
    <w:rsid w:val="7C656275"/>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b/>
      <w:kern w:val="44"/>
      <w:sz w:val="48"/>
      <w:szCs w:val="48"/>
    </w:rPr>
  </w:style>
  <w:style w:type="character" w:default="1" w:styleId="7">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locked/>
    <w:uiPriority w:val="0"/>
    <w:rPr>
      <w:b/>
      <w:bCs/>
    </w:rPr>
  </w:style>
  <w:style w:type="character" w:styleId="9">
    <w:name w:val="page number"/>
    <w:basedOn w:val="7"/>
    <w:qFormat/>
    <w:uiPriority w:val="99"/>
    <w:rPr>
      <w:rFonts w:cs="Times New Roman"/>
    </w:rPr>
  </w:style>
  <w:style w:type="character" w:styleId="10">
    <w:name w:val="Hyperlink"/>
    <w:basedOn w:val="7"/>
    <w:qFormat/>
    <w:uiPriority w:val="99"/>
    <w:rPr>
      <w:rFonts w:cs="Times New Roman"/>
      <w:color w:val="0000FF"/>
      <w:u w:val="single"/>
    </w:rPr>
  </w:style>
  <w:style w:type="character" w:customStyle="1" w:styleId="12">
    <w:name w:val="批注框文本 Char"/>
    <w:basedOn w:val="7"/>
    <w:link w:val="3"/>
    <w:semiHidden/>
    <w:qFormat/>
    <w:locked/>
    <w:uiPriority w:val="99"/>
    <w:rPr>
      <w:rFonts w:cs="Times New Roman"/>
      <w:sz w:val="18"/>
      <w:szCs w:val="18"/>
    </w:rPr>
  </w:style>
  <w:style w:type="character" w:customStyle="1" w:styleId="13">
    <w:name w:val="页眉 Char"/>
    <w:basedOn w:val="7"/>
    <w:link w:val="5"/>
    <w:qFormat/>
    <w:locked/>
    <w:uiPriority w:val="99"/>
    <w:rPr>
      <w:rFonts w:cs="Times New Roman"/>
      <w:sz w:val="18"/>
      <w:szCs w:val="18"/>
    </w:rPr>
  </w:style>
  <w:style w:type="character" w:customStyle="1" w:styleId="14">
    <w:name w:val="页脚 Char"/>
    <w:basedOn w:val="7"/>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878</Words>
  <Characters>5010</Characters>
  <Lines>41</Lines>
  <Paragraphs>11</Paragraphs>
  <ScaleCrop>false</ScaleCrop>
  <LinksUpToDate>false</LinksUpToDate>
  <CharactersWithSpaces>5877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2017-03-06T06:35:00Z</dcterms:created>
  <dc:creator>huangchao</dc:creator>
  <cp:lastModifiedBy>danganshi</cp:lastModifiedBy>
  <cp:lastPrinted>2017-04-06T09:41:00Z</cp:lastPrinted>
  <dcterms:modified xsi:type="dcterms:W3CDTF">2018-01-26T02:13:57Z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